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jc w:val="left"/>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附件1-2</w:t>
      </w:r>
    </w:p>
    <w:p>
      <w:pPr>
        <w:pStyle w:val="2"/>
        <w:widowControl w:val="0"/>
        <w:spacing w:before="0" w:beforeAutospacing="0" w:after="0" w:afterAutospacing="0" w:line="800" w:lineRule="exact"/>
        <w:jc w:val="center"/>
        <w:rPr>
          <w:rStyle w:val="5"/>
          <w:rFonts w:ascii="黑体" w:hAnsi="黑体" w:eastAsia="黑体" w:cs="Times New Roman"/>
          <w:b w:val="0"/>
          <w:spacing w:val="-23"/>
          <w:sz w:val="36"/>
          <w:szCs w:val="36"/>
        </w:rPr>
      </w:pPr>
      <w:r>
        <w:rPr>
          <w:rStyle w:val="5"/>
          <w:rFonts w:ascii="黑体" w:hAnsi="黑体" w:eastAsia="黑体" w:cs="Times New Roman"/>
          <w:b w:val="0"/>
          <w:spacing w:val="-23"/>
          <w:sz w:val="36"/>
          <w:szCs w:val="36"/>
        </w:rPr>
        <w:t>2022年度</w:t>
      </w:r>
      <w:r>
        <w:rPr>
          <w:rStyle w:val="5"/>
          <w:rFonts w:hint="eastAsia" w:ascii="黑体" w:hAnsi="黑体" w:eastAsia="黑体" w:cs="Times New Roman"/>
          <w:b w:val="0"/>
          <w:spacing w:val="-23"/>
          <w:sz w:val="36"/>
          <w:szCs w:val="36"/>
        </w:rPr>
        <w:t>新晃县</w:t>
      </w:r>
      <w:r>
        <w:rPr>
          <w:rStyle w:val="5"/>
          <w:rFonts w:hint="eastAsia" w:ascii="黑体" w:hAnsi="黑体" w:eastAsia="黑体" w:cs="Times New Roman"/>
          <w:b w:val="0"/>
          <w:spacing w:val="-23"/>
          <w:sz w:val="36"/>
          <w:szCs w:val="36"/>
          <w:lang w:val="en-US" w:eastAsia="zh-CN"/>
        </w:rPr>
        <w:t>文化旅游广电体育局</w:t>
      </w:r>
      <w:r>
        <w:rPr>
          <w:rStyle w:val="5"/>
          <w:rFonts w:ascii="黑体" w:hAnsi="黑体" w:eastAsia="黑体" w:cs="Times New Roman"/>
          <w:b w:val="0"/>
          <w:spacing w:val="-23"/>
          <w:sz w:val="36"/>
          <w:szCs w:val="36"/>
        </w:rPr>
        <w:t>整体支出绩效</w:t>
      </w:r>
    </w:p>
    <w:p>
      <w:pPr>
        <w:pStyle w:val="2"/>
        <w:widowControl w:val="0"/>
        <w:spacing w:before="0" w:beforeAutospacing="0" w:after="0" w:afterAutospacing="0" w:line="800" w:lineRule="exact"/>
        <w:jc w:val="center"/>
        <w:rPr>
          <w:rStyle w:val="5"/>
          <w:rFonts w:ascii="黑体" w:hAnsi="黑体" w:eastAsia="黑体" w:cs="Times New Roman"/>
          <w:b w:val="0"/>
          <w:spacing w:val="-23"/>
          <w:sz w:val="36"/>
          <w:szCs w:val="36"/>
        </w:rPr>
      </w:pPr>
      <w:r>
        <w:rPr>
          <w:rStyle w:val="5"/>
          <w:rFonts w:ascii="黑体" w:hAnsi="黑体" w:eastAsia="黑体" w:cs="Times New Roman"/>
          <w:b w:val="0"/>
          <w:spacing w:val="-23"/>
          <w:sz w:val="36"/>
          <w:szCs w:val="36"/>
        </w:rPr>
        <w:t>自评报告</w:t>
      </w:r>
    </w:p>
    <w:p>
      <w:pPr>
        <w:numPr>
          <w:ilvl w:val="0"/>
          <w:numId w:val="1"/>
        </w:numPr>
        <w:spacing w:before="240" w:line="560" w:lineRule="exact"/>
        <w:ind w:left="651" w:leftChars="0" w:firstLine="0" w:firstLineChars="0"/>
        <w:jc w:val="left"/>
        <w:rPr>
          <w:rFonts w:hint="eastAsia" w:ascii="黑体" w:hAnsi="黑体" w:eastAsia="黑体"/>
          <w:sz w:val="32"/>
          <w:szCs w:val="32"/>
        </w:rPr>
      </w:pPr>
      <w:r>
        <w:rPr>
          <w:rFonts w:hint="eastAsia" w:ascii="黑体" w:hAnsi="黑体" w:eastAsia="黑体"/>
          <w:sz w:val="32"/>
          <w:szCs w:val="32"/>
        </w:rPr>
        <w:t>部门（单位）基本概况</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eastAsia="zh-CN"/>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一)贯彻党和国家有关文化、旅游、广播电视、体育工作方针、政策和法律、法规，拟订全县文化、旅游、广播电视、体育事业发展规划并指导实施，指导、推进全县文化、旅游、广播电视、体育、文物领域体制机制创新。</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eastAsia="zh-CN"/>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(二)推进全县文化旅游广电体育领域的公共服务，规划、引导公共文化产品生产，统筹安排全县文化、旅游、广电、体育事业经费，指导全县重点文化旅游广电体育设施建设和基层文化旅游广电体育设施建设</w:t>
      </w:r>
      <w:r>
        <w:rPr>
          <w:rFonts w:hint="eastAsia" w:ascii="仿宋_GB2312" w:hAnsi="宋体" w:eastAsia="仿宋_GB2312"/>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(三)拟订全县文化旅游广电体育产业发展规划，指导、协调</w:t>
      </w:r>
      <w:r>
        <w:rPr>
          <w:rFonts w:hint="eastAsia" w:ascii="仿宋_GB2312" w:hAnsi="宋体" w:eastAsia="仿宋_GB2312"/>
          <w:color w:val="000000" w:themeColor="text1"/>
          <w:sz w:val="32"/>
          <w:szCs w:val="32"/>
          <w:lang w:eastAsia="zh-CN"/>
          <w14:textFill>
            <w14:solidFill>
              <w14:schemeClr w14:val="tx1"/>
            </w14:solidFill>
          </w14:textFill>
        </w:rPr>
        <w:t>全</w:t>
      </w:r>
      <w:r>
        <w:rPr>
          <w:rFonts w:hint="eastAsia" w:ascii="仿宋_GB2312" w:hAnsi="宋体" w:eastAsia="仿宋_GB2312"/>
          <w:color w:val="000000" w:themeColor="text1"/>
          <w:sz w:val="32"/>
          <w:szCs w:val="32"/>
          <w14:textFill>
            <w14:solidFill>
              <w14:schemeClr w14:val="tx1"/>
            </w14:solidFill>
          </w14:textFill>
        </w:rPr>
        <w:t>县文化旅游广由体育产业发</w:t>
      </w:r>
      <w:r>
        <w:rPr>
          <w:rFonts w:hint="eastAsia" w:ascii="仿宋_GB2312" w:hAnsi="宋体" w:eastAsia="仿宋_GB2312"/>
          <w:color w:val="000000" w:themeColor="text1"/>
          <w:sz w:val="32"/>
          <w:szCs w:val="32"/>
          <w:lang w:eastAsia="zh-CN"/>
          <w14:textFill>
            <w14:solidFill>
              <w14:schemeClr w14:val="tx1"/>
            </w14:solidFill>
          </w14:textFill>
        </w:rPr>
        <w:t>展</w:t>
      </w:r>
      <w:r>
        <w:rPr>
          <w:rFonts w:hint="eastAsia" w:ascii="仿宋_GB2312" w:hAnsi="宋体" w:eastAsia="仿宋_GB2312"/>
          <w:color w:val="000000" w:themeColor="text1"/>
          <w:sz w:val="32"/>
          <w:szCs w:val="32"/>
          <w:lang w:val="en-US" w:eastAsia="zh-CN"/>
          <w14:textFill>
            <w14:solidFill>
              <w14:schemeClr w14:val="tx1"/>
            </w14:solidFill>
          </w14:textFill>
        </w:rPr>
        <w:t>，推进文化旅游广电体育产业交流与合作。</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(四)指导全县文化艺术创作与生产，管理全县性重大文化活动，重点扶持代表性、示范性、实验性文化艺术品种和特色文艺院团，推动各门类艺术的发展。</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五)指导、管理全县文化艺术和体育事业，指导、管理全县图书馆、博物馆、文化馆(站)、体育馆事业和基层文化体育建设;指导非公有性文化旅游体育文物机构和文化艺术类、旅游类、体育类、文物类社会组织的业务工作。</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(六)指导推进全县文化旅游广电体育文物科技创新发展，推进文化旅游广电体育文物行业信息化、标准化建设。</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(七)负责全县物质与非物质文化遗产保护和优秀民族文化的挖掘抢救传承宣传研究工作。</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(八)指导全县文化、旅游、广电、体育、文物等市场发展，对文化旅游广电体育文物市场经营进行行业监管，推进文化旅游广电体育文物行业信用体系建设，依法规范文化旅游广电体育文物市场。</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九)组织、指导全县重要旅游产品的开发，促进和引导旅游业利用外资和社会投资工作;拟订全县国际旅游市场开发战略，组织全县旅游形象的对外宣传和重大推广活动;培育、完善和开拓国内旅游市场，拟订我县开拓旅游市场的措施并指导实施。</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 xml:space="preserve">(十)组织全县旅游资源的普查、规划、开发和相关保护工作，指导协调旅游区的规划编制和开发建设，引导休闲度假。监测全县旅游经济运行，负责旅游统计及行业信息发布。协调和指导全县假日旅游和红色旅游工作。 </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十一)承担规范旅游市场秩序、监督管理服务质量、维护旅游消费者和经营者合法权益的责任。规范旅游企业和从业人员的经营和服务行为。组织实施国家确定的各类旅游区(点)、旅游设施、旅游服务、旅游产品等方面的等级和标准，组织实施旅游饭店与旅行社星级标准和星级的初级评定。初审国内旅行社、分社、网点设立和经营范围变更。负责全县旅游安全的综合协调和监督管理，指导应急救援。指导旅游行业精神文明建设和诚信体系建设。加强对旅游市场实施监督管。</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十二)指导旅游教育、培训工作，制定并组织实施全县旅游人才规划，指导实施旅游从业人员的职业资格标准和等级标准。指导全县有关学校开展旅游教育的有关工作。联系和指导旅游社团机构建设和制度建设等工。</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十三)统筹规划群众体育发展，负责推行全民健身计划，指导群众性体育活动的开展，监督实施国家体育锻炼标准，推动国民体质监测和社会体育指导员工作队伍制度建设，指导公共体育设施建设，负责公共体育设施的监督管理。</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 xml:space="preserve">(十四)统筹规划竞技体育发展和青少年体育发展，负责制定全县体育竞赛项目设置和重点布局，组织管理体育训练、体育竟赛、运动队伍肆设，加强体育后备人才建设，推讲青少年体育工。 </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(十五)组织体育领域科学研究的攻关和成果推广，负责组织、协调、监督体育运动中的反兴奋剂工作。</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(十六)组织推进全县广播电视公共服务，负责全县广播电视、信息网络视听节目服务机构和业务的监管并实施准入和退出管理，对从事广播电视节目制作民办机构进行监管。</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(十七)指导、管理文化旅游广电体育行业对外及对港澳台交流、合作和宣传、推广工作。</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(十八)负责职责范围内文化旅游广电体育行业安全生产工作。</w:t>
      </w:r>
    </w:p>
    <w:p>
      <w:pPr>
        <w:keepNext w:val="0"/>
        <w:keepLines w:val="0"/>
        <w:pageBreakBefore w:val="0"/>
        <w:widowControl/>
        <w:kinsoku/>
        <w:wordWrap/>
        <w:overflowPunct/>
        <w:topLinePunct w:val="0"/>
        <w:autoSpaceDE/>
        <w:autoSpaceDN/>
        <w:bidi w:val="0"/>
        <w:adjustRightInd/>
        <w:snapToGrid w:val="0"/>
        <w:spacing w:line="540" w:lineRule="exact"/>
        <w:ind w:firstLine="640" w:firstLineChars="200"/>
        <w:jc w:val="left"/>
        <w:textAlignment w:val="auto"/>
        <w:rPr>
          <w:rFonts w:ascii="仿宋_GB2312" w:hAnsi="宋体" w:eastAsia="仿宋_GB2312" w:cs="宋体"/>
          <w:color w:val="333333"/>
          <w:kern w:val="0"/>
          <w:sz w:val="32"/>
          <w:szCs w:val="32"/>
        </w:rPr>
      </w:pPr>
      <w:r>
        <w:rPr>
          <w:rFonts w:hint="eastAsia" w:ascii="仿宋_GB2312" w:hAnsi="宋体" w:eastAsia="仿宋_GB2312"/>
          <w:color w:val="000000" w:themeColor="text1"/>
          <w:sz w:val="32"/>
          <w:szCs w:val="32"/>
          <w:lang w:val="en-US" w:eastAsia="zh-CN"/>
          <w14:textFill>
            <w14:solidFill>
              <w14:schemeClr w14:val="tx1"/>
            </w14:solidFill>
          </w14:textFill>
        </w:rPr>
        <w:t>(十九)承办县委和县政府交办的其他任务。</w:t>
      </w:r>
      <w:r>
        <w:rPr>
          <w:rFonts w:hint="eastAsia" w:ascii="仿宋_GB2312" w:hAnsi="宋体" w:eastAsia="仿宋_GB2312" w:cs="宋体"/>
          <w:color w:val="333333"/>
          <w:kern w:val="0"/>
          <w:sz w:val="32"/>
          <w:szCs w:val="32"/>
        </w:rPr>
        <w:t>2、机构设置</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文化旅游广电体育局属全额拨款行政单位。机关行政编制8个、事业编制3个；下设二级机构9个，文化市场综合行政执法大队编制14名、旅游发展事务中心编制6名、老年人体育协会编制3名、少年儿童业余体育运动学校编制4名、体育馆编制5名、非物质文化遗产保护中心编制5名、文化馆11名、图书馆8名、民族歌舞剧团12名（差额）。局机关现有在职人员</w:t>
      </w:r>
      <w:r>
        <w:rPr>
          <w:rFonts w:hint="eastAsia" w:ascii="仿宋_GB2312" w:hAnsi="宋体" w:eastAsia="仿宋_GB2312"/>
          <w:color w:val="000000" w:themeColor="text1"/>
          <w:sz w:val="32"/>
          <w:szCs w:val="32"/>
          <w:lang w:val="en-US" w:eastAsia="zh-CN"/>
          <w14:textFill>
            <w14:solidFill>
              <w14:schemeClr w14:val="tx1"/>
            </w14:solidFill>
          </w14:textFill>
        </w:rPr>
        <w:t>19</w:t>
      </w:r>
      <w:r>
        <w:rPr>
          <w:rFonts w:hint="eastAsia" w:ascii="仿宋_GB2312" w:hAnsi="宋体" w:eastAsia="仿宋_GB2312"/>
          <w:color w:val="000000" w:themeColor="text1"/>
          <w:sz w:val="32"/>
          <w:szCs w:val="32"/>
          <w14:textFill>
            <w14:solidFill>
              <w14:schemeClr w14:val="tx1"/>
            </w14:solidFill>
          </w14:textFill>
        </w:rPr>
        <w:t>人、退</w:t>
      </w:r>
      <w:r>
        <w:rPr>
          <w:rFonts w:hint="eastAsia" w:ascii="仿宋_GB2312" w:hAnsi="宋体" w:eastAsia="仿宋_GB2312"/>
          <w:color w:val="000000" w:themeColor="text1"/>
          <w:sz w:val="32"/>
          <w:szCs w:val="32"/>
          <w:highlight w:val="none"/>
          <w14:textFill>
            <w14:solidFill>
              <w14:schemeClr w14:val="tx1"/>
            </w14:solidFill>
          </w14:textFill>
        </w:rPr>
        <w:t>休人员3</w:t>
      </w:r>
      <w:r>
        <w:rPr>
          <w:rFonts w:hint="eastAsia" w:ascii="仿宋_GB2312" w:hAnsi="宋体" w:eastAsia="仿宋_GB2312"/>
          <w:color w:val="000000" w:themeColor="text1"/>
          <w:sz w:val="32"/>
          <w:szCs w:val="32"/>
          <w:highlight w:val="none"/>
          <w:lang w:val="en-US" w:eastAsia="zh-CN"/>
          <w14:textFill>
            <w14:solidFill>
              <w14:schemeClr w14:val="tx1"/>
            </w14:solidFill>
          </w14:textFill>
        </w:rPr>
        <w:t>2</w:t>
      </w:r>
      <w:r>
        <w:rPr>
          <w:rFonts w:hint="eastAsia" w:ascii="仿宋_GB2312" w:hAnsi="宋体" w:eastAsia="仿宋_GB2312"/>
          <w:color w:val="000000" w:themeColor="text1"/>
          <w:sz w:val="32"/>
          <w:szCs w:val="32"/>
          <w:highlight w:val="none"/>
          <w14:textFill>
            <w14:solidFill>
              <w14:schemeClr w14:val="tx1"/>
            </w14:solidFill>
          </w14:textFill>
        </w:rPr>
        <w:t>人、提前退休人员</w:t>
      </w:r>
      <w:r>
        <w:rPr>
          <w:rFonts w:hint="eastAsia" w:ascii="仿宋_GB2312" w:hAnsi="宋体" w:eastAsia="仿宋_GB2312"/>
          <w:color w:val="000000" w:themeColor="text1"/>
          <w:sz w:val="32"/>
          <w:szCs w:val="32"/>
          <w:lang w:val="en-US" w:eastAsia="zh-CN"/>
          <w14:textFill>
            <w14:solidFill>
              <w14:schemeClr w14:val="tx1"/>
            </w14:solidFill>
          </w14:textFill>
        </w:rPr>
        <w:t>3</w:t>
      </w:r>
      <w:r>
        <w:rPr>
          <w:rFonts w:hint="eastAsia" w:ascii="仿宋_GB2312" w:hAnsi="宋体" w:eastAsia="仿宋_GB2312"/>
          <w:color w:val="000000" w:themeColor="text1"/>
          <w:sz w:val="32"/>
          <w:szCs w:val="32"/>
          <w14:textFill>
            <w14:solidFill>
              <w14:schemeClr w14:val="tx1"/>
            </w14:solidFill>
          </w14:textFill>
        </w:rPr>
        <w:t>人。</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eastAsia="zh-CN"/>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202</w:t>
      </w:r>
      <w:r>
        <w:rPr>
          <w:rFonts w:hint="eastAsia" w:ascii="仿宋_GB2312" w:hAnsi="宋体" w:eastAsia="仿宋_GB2312"/>
          <w:color w:val="000000" w:themeColor="text1"/>
          <w:sz w:val="32"/>
          <w:szCs w:val="32"/>
          <w:lang w:val="en-US" w:eastAsia="zh-CN"/>
          <w14:textFill>
            <w14:solidFill>
              <w14:schemeClr w14:val="tx1"/>
            </w14:solidFill>
          </w14:textFill>
        </w:rPr>
        <w:t>2</w:t>
      </w:r>
      <w:r>
        <w:rPr>
          <w:rFonts w:hint="eastAsia" w:ascii="仿宋_GB2312" w:hAnsi="宋体" w:eastAsia="仿宋_GB2312"/>
          <w:color w:val="000000" w:themeColor="text1"/>
          <w:sz w:val="32"/>
          <w:szCs w:val="32"/>
          <w14:textFill>
            <w14:solidFill>
              <w14:schemeClr w14:val="tx1"/>
            </w14:solidFill>
          </w14:textFill>
        </w:rPr>
        <w:t>年我局决算收入</w:t>
      </w:r>
      <w:r>
        <w:rPr>
          <w:rFonts w:hint="eastAsia" w:ascii="仿宋_GB2312" w:hAnsi="宋体" w:eastAsia="仿宋_GB2312"/>
          <w:color w:val="000000" w:themeColor="text1"/>
          <w:sz w:val="32"/>
          <w:szCs w:val="32"/>
          <w:lang w:val="en-US" w:eastAsia="zh-CN"/>
          <w14:textFill>
            <w14:solidFill>
              <w14:schemeClr w14:val="tx1"/>
            </w14:solidFill>
          </w14:textFill>
        </w:rPr>
        <w:t>1662.1</w:t>
      </w:r>
      <w:r>
        <w:rPr>
          <w:rFonts w:hint="eastAsia" w:ascii="仿宋_GB2312" w:hAnsi="宋体" w:eastAsia="仿宋_GB2312"/>
          <w:color w:val="000000" w:themeColor="text1"/>
          <w:sz w:val="32"/>
          <w:szCs w:val="32"/>
          <w14:textFill>
            <w14:solidFill>
              <w14:schemeClr w14:val="tx1"/>
            </w14:solidFill>
          </w14:textFill>
        </w:rPr>
        <w:t>万元，支出</w:t>
      </w:r>
      <w:r>
        <w:rPr>
          <w:rFonts w:hint="eastAsia" w:ascii="仿宋_GB2312" w:hAnsi="宋体" w:eastAsia="仿宋_GB2312"/>
          <w:color w:val="000000" w:themeColor="text1"/>
          <w:sz w:val="32"/>
          <w:szCs w:val="32"/>
          <w:lang w:val="en-US" w:eastAsia="zh-CN"/>
          <w14:textFill>
            <w14:solidFill>
              <w14:schemeClr w14:val="tx1"/>
            </w14:solidFill>
          </w14:textFill>
        </w:rPr>
        <w:t>1993.39</w:t>
      </w:r>
      <w:r>
        <w:rPr>
          <w:rFonts w:hint="eastAsia" w:ascii="仿宋_GB2312" w:hAnsi="宋体" w:eastAsia="仿宋_GB2312"/>
          <w:color w:val="000000" w:themeColor="text1"/>
          <w:sz w:val="32"/>
          <w:szCs w:val="32"/>
          <w14:textFill>
            <w14:solidFill>
              <w14:schemeClr w14:val="tx1"/>
            </w14:solidFill>
          </w14:textFill>
        </w:rPr>
        <w:t>万元，上年结余</w:t>
      </w:r>
      <w:r>
        <w:rPr>
          <w:rFonts w:hint="eastAsia" w:ascii="仿宋_GB2312" w:hAnsi="宋体" w:eastAsia="仿宋_GB2312"/>
          <w:color w:val="000000" w:themeColor="text1"/>
          <w:sz w:val="32"/>
          <w:szCs w:val="32"/>
          <w:lang w:val="en-US" w:eastAsia="zh-CN"/>
          <w14:textFill>
            <w14:solidFill>
              <w14:schemeClr w14:val="tx1"/>
            </w14:solidFill>
          </w14:textFill>
        </w:rPr>
        <w:t>331.29</w:t>
      </w:r>
      <w:r>
        <w:rPr>
          <w:rFonts w:hint="eastAsia" w:ascii="仿宋_GB2312" w:hAnsi="宋体" w:eastAsia="仿宋_GB2312"/>
          <w:color w:val="000000" w:themeColor="text1"/>
          <w:sz w:val="32"/>
          <w:szCs w:val="32"/>
          <w14:textFill>
            <w14:solidFill>
              <w14:schemeClr w14:val="tx1"/>
            </w14:solidFill>
          </w14:textFill>
        </w:rPr>
        <w:t>万元，年末结余</w:t>
      </w:r>
      <w:r>
        <w:rPr>
          <w:rFonts w:hint="eastAsia" w:ascii="仿宋_GB2312" w:hAnsi="宋体" w:eastAsia="仿宋_GB2312"/>
          <w:color w:val="000000" w:themeColor="text1"/>
          <w:sz w:val="32"/>
          <w:szCs w:val="32"/>
          <w:lang w:val="en-US" w:eastAsia="zh-CN"/>
          <w14:textFill>
            <w14:solidFill>
              <w14:schemeClr w14:val="tx1"/>
            </w14:solidFill>
          </w14:textFill>
        </w:rPr>
        <w:t>0</w:t>
      </w:r>
      <w:r>
        <w:rPr>
          <w:rFonts w:hint="eastAsia" w:ascii="仿宋_GB2312" w:hAnsi="宋体" w:eastAsia="仿宋_GB2312"/>
          <w:color w:val="000000" w:themeColor="text1"/>
          <w:sz w:val="32"/>
          <w:szCs w:val="32"/>
          <w14:textFill>
            <w14:solidFill>
              <w14:schemeClr w14:val="tx1"/>
            </w14:solidFill>
          </w14:textFill>
        </w:rPr>
        <w:t>万元。年末固定资产</w:t>
      </w:r>
      <w:r>
        <w:rPr>
          <w:rFonts w:hint="eastAsia" w:ascii="仿宋_GB2312" w:hAnsi="宋体" w:eastAsia="仿宋_GB2312"/>
          <w:color w:val="000000" w:themeColor="text1"/>
          <w:sz w:val="32"/>
          <w:szCs w:val="32"/>
          <w:lang w:val="en-US" w:eastAsia="zh-CN"/>
          <w14:textFill>
            <w14:solidFill>
              <w14:schemeClr w14:val="tx1"/>
            </w14:solidFill>
          </w14:textFill>
        </w:rPr>
        <w:t>112.28</w:t>
      </w:r>
      <w:r>
        <w:rPr>
          <w:rFonts w:hint="eastAsia" w:ascii="仿宋_GB2312" w:hAnsi="宋体" w:eastAsia="仿宋_GB2312"/>
          <w:color w:val="000000" w:themeColor="text1"/>
          <w:sz w:val="32"/>
          <w:szCs w:val="32"/>
          <w14:textFill>
            <w14:solidFill>
              <w14:schemeClr w14:val="tx1"/>
            </w14:solidFill>
          </w14:textFill>
        </w:rPr>
        <w:t>万元，其中：房屋及构筑物</w:t>
      </w:r>
      <w:r>
        <w:rPr>
          <w:rFonts w:hint="eastAsia" w:ascii="仿宋_GB2312" w:hAnsi="宋体" w:eastAsia="仿宋_GB2312"/>
          <w:color w:val="000000" w:themeColor="text1"/>
          <w:sz w:val="32"/>
          <w:szCs w:val="32"/>
          <w:lang w:val="en-US" w:eastAsia="zh-CN"/>
          <w14:textFill>
            <w14:solidFill>
              <w14:schemeClr w14:val="tx1"/>
            </w14:solidFill>
          </w14:textFill>
        </w:rPr>
        <w:t>12.77</w:t>
      </w:r>
      <w:r>
        <w:rPr>
          <w:rFonts w:hint="eastAsia" w:ascii="仿宋_GB2312" w:hAnsi="宋体" w:eastAsia="仿宋_GB2312"/>
          <w:color w:val="000000" w:themeColor="text1"/>
          <w:sz w:val="32"/>
          <w:szCs w:val="32"/>
          <w14:textFill>
            <w14:solidFill>
              <w14:schemeClr w14:val="tx1"/>
            </w14:solidFill>
          </w14:textFill>
        </w:rPr>
        <w:t>万元、专用设备</w:t>
      </w:r>
      <w:r>
        <w:rPr>
          <w:rFonts w:hint="eastAsia" w:ascii="仿宋_GB2312" w:hAnsi="宋体" w:eastAsia="仿宋_GB2312"/>
          <w:color w:val="000000" w:themeColor="text1"/>
          <w:sz w:val="32"/>
          <w:szCs w:val="32"/>
          <w:lang w:val="en-US" w:eastAsia="zh-CN"/>
          <w14:textFill>
            <w14:solidFill>
              <w14:schemeClr w14:val="tx1"/>
            </w14:solidFill>
          </w14:textFill>
        </w:rPr>
        <w:t>11.49</w:t>
      </w:r>
      <w:r>
        <w:rPr>
          <w:rFonts w:hint="eastAsia" w:ascii="仿宋_GB2312" w:hAnsi="宋体" w:eastAsia="仿宋_GB2312"/>
          <w:color w:val="000000" w:themeColor="text1"/>
          <w:sz w:val="32"/>
          <w:szCs w:val="32"/>
          <w14:textFill>
            <w14:solidFill>
              <w14:schemeClr w14:val="tx1"/>
            </w14:solidFill>
          </w14:textFill>
        </w:rPr>
        <w:t>万元、通用设备</w:t>
      </w:r>
      <w:r>
        <w:rPr>
          <w:rFonts w:hint="eastAsia" w:ascii="仿宋_GB2312" w:hAnsi="宋体" w:eastAsia="仿宋_GB2312"/>
          <w:color w:val="000000" w:themeColor="text1"/>
          <w:sz w:val="32"/>
          <w:szCs w:val="32"/>
          <w:lang w:val="en-US" w:eastAsia="zh-CN"/>
          <w14:textFill>
            <w14:solidFill>
              <w14:schemeClr w14:val="tx1"/>
            </w14:solidFill>
          </w14:textFill>
        </w:rPr>
        <w:t>78.92</w:t>
      </w:r>
      <w:r>
        <w:rPr>
          <w:rFonts w:hint="eastAsia" w:ascii="仿宋_GB2312" w:hAnsi="宋体" w:eastAsia="仿宋_GB2312"/>
          <w:color w:val="000000" w:themeColor="text1"/>
          <w:sz w:val="32"/>
          <w:szCs w:val="32"/>
          <w14:textFill>
            <w14:solidFill>
              <w14:schemeClr w14:val="tx1"/>
            </w14:solidFill>
          </w14:textFill>
        </w:rPr>
        <w:t>万元、家具用具</w:t>
      </w:r>
      <w:r>
        <w:rPr>
          <w:rFonts w:hint="eastAsia" w:ascii="仿宋_GB2312" w:hAnsi="宋体" w:eastAsia="仿宋_GB2312"/>
          <w:color w:val="000000" w:themeColor="text1"/>
          <w:sz w:val="32"/>
          <w:szCs w:val="32"/>
          <w:lang w:val="en-US" w:eastAsia="zh-CN"/>
          <w14:textFill>
            <w14:solidFill>
              <w14:schemeClr w14:val="tx1"/>
            </w14:solidFill>
          </w14:textFill>
        </w:rPr>
        <w:t>9.1</w:t>
      </w:r>
      <w:r>
        <w:rPr>
          <w:rFonts w:hint="eastAsia" w:ascii="仿宋_GB2312" w:hAnsi="宋体" w:eastAsia="仿宋_GB2312"/>
          <w:color w:val="000000" w:themeColor="text1"/>
          <w:sz w:val="32"/>
          <w:szCs w:val="32"/>
          <w14:textFill>
            <w14:solidFill>
              <w14:schemeClr w14:val="tx1"/>
            </w14:solidFill>
          </w14:textFill>
        </w:rPr>
        <w:t>万元</w:t>
      </w:r>
      <w:r>
        <w:rPr>
          <w:rFonts w:hint="eastAsia" w:ascii="仿宋_GB2312" w:hAnsi="宋体" w:eastAsia="仿宋_GB2312"/>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s="Times New Roman"/>
          <w:color w:val="000000" w:themeColor="text1"/>
          <w:sz w:val="32"/>
          <w:szCs w:val="32"/>
          <w:lang w:val="en-US" w:eastAsia="zh-CN"/>
          <w14:textFill>
            <w14:solidFill>
              <w14:schemeClr w14:val="tx1"/>
            </w14:solidFill>
          </w14:textFill>
        </w:rPr>
      </w:pPr>
      <w:r>
        <w:rPr>
          <w:rFonts w:hint="eastAsia" w:ascii="仿宋_GB2312" w:hAnsi="宋体" w:eastAsia="仿宋_GB2312" w:cs="Times New Roman"/>
          <w:color w:val="000000" w:themeColor="text1"/>
          <w:sz w:val="32"/>
          <w:szCs w:val="32"/>
          <w:lang w:val="en-US" w:eastAsia="zh-CN"/>
          <w14:textFill>
            <w14:solidFill>
              <w14:schemeClr w14:val="tx1"/>
            </w14:solidFill>
          </w14:textFill>
        </w:rPr>
        <w:t>我局严格按照县财政相关政策制度管理、使用各项资金，并根据《会计法》、《预算法》等法规制订了单位财务管理、办公物资采购管理、固定资产管理等多项财务规章制度，专项资金的开支，均需要各部门严格控制，层层审批，确保专款专用。</w:t>
      </w:r>
    </w:p>
    <w:p>
      <w:pPr>
        <w:spacing w:line="560" w:lineRule="exact"/>
        <w:ind w:firstLine="640" w:firstLineChars="200"/>
        <w:jc w:val="left"/>
        <w:rPr>
          <w:rFonts w:hint="eastAsia" w:ascii="黑体" w:hAnsi="黑体" w:eastAsia="黑体"/>
          <w:sz w:val="32"/>
          <w:szCs w:val="32"/>
        </w:rPr>
      </w:pPr>
      <w:r>
        <w:rPr>
          <w:rFonts w:hint="eastAsia" w:ascii="黑体" w:hAnsi="黑体" w:eastAsia="黑体"/>
          <w:sz w:val="32"/>
          <w:szCs w:val="32"/>
        </w:rPr>
        <w:t>二、部门（单位）整体支出绩效状况</w:t>
      </w:r>
    </w:p>
    <w:p>
      <w:pPr>
        <w:spacing w:line="560" w:lineRule="exact"/>
        <w:ind w:left="0" w:firstLine="640" w:firstLineChars="200"/>
        <w:jc w:val="left"/>
        <w:rPr>
          <w:rFonts w:hint="eastAsia" w:ascii="仿宋_GB2312" w:hAnsi="仿宋" w:eastAsia="仿宋_GB2312" w:cs="仿宋"/>
          <w:sz w:val="32"/>
          <w:szCs w:val="32"/>
        </w:rPr>
      </w:pPr>
      <w:r>
        <w:rPr>
          <w:rFonts w:hint="eastAsia" w:ascii="仿宋_GB2312" w:hAnsi="仿宋" w:eastAsia="仿宋_GB2312" w:cs="仿宋"/>
          <w:sz w:val="32"/>
          <w:szCs w:val="32"/>
        </w:rPr>
        <w:t>（一）、202</w:t>
      </w:r>
      <w:r>
        <w:rPr>
          <w:rFonts w:hint="eastAsia" w:ascii="仿宋_GB2312" w:hAnsi="仿宋" w:eastAsia="仿宋_GB2312" w:cs="仿宋"/>
          <w:sz w:val="32"/>
          <w:szCs w:val="32"/>
          <w:lang w:val="en-US" w:eastAsia="zh-CN"/>
        </w:rPr>
        <w:t>2</w:t>
      </w:r>
      <w:r>
        <w:rPr>
          <w:rFonts w:hint="eastAsia" w:ascii="仿宋_GB2312" w:hAnsi="仿宋" w:eastAsia="仿宋_GB2312" w:cs="仿宋"/>
          <w:sz w:val="32"/>
          <w:szCs w:val="32"/>
        </w:rPr>
        <w:t>年部门决算收支完成情况。</w:t>
      </w:r>
    </w:p>
    <w:p>
      <w:pPr>
        <w:spacing w:line="560" w:lineRule="exact"/>
        <w:ind w:left="0" w:firstLine="640" w:firstLineChars="200"/>
        <w:jc w:val="left"/>
        <w:rPr>
          <w:rFonts w:hint="eastAsia" w:ascii="仿宋_GB2312" w:hAnsi="仿宋" w:eastAsia="仿宋_GB2312" w:cs="仿宋"/>
          <w:sz w:val="32"/>
          <w:szCs w:val="32"/>
        </w:rPr>
      </w:pPr>
      <w:r>
        <w:rPr>
          <w:rFonts w:hint="eastAsia" w:ascii="仿宋_GB2312" w:hAnsi="仿宋" w:eastAsia="仿宋_GB2312" w:cs="仿宋"/>
          <w:sz w:val="32"/>
          <w:szCs w:val="32"/>
        </w:rPr>
        <w:t>1、收入：</w:t>
      </w:r>
      <w:r>
        <w:rPr>
          <w:rFonts w:hint="eastAsia" w:ascii="仿宋_GB2312" w:hAnsi="仿宋" w:eastAsia="仿宋_GB2312" w:cs="仿宋"/>
          <w:sz w:val="32"/>
          <w:szCs w:val="32"/>
          <w:lang w:val="en-US" w:eastAsia="zh-CN"/>
        </w:rPr>
        <w:t>1662.1</w:t>
      </w:r>
      <w:r>
        <w:rPr>
          <w:rFonts w:hint="eastAsia" w:ascii="仿宋_GB2312" w:hAnsi="仿宋" w:eastAsia="仿宋_GB2312" w:cs="仿宋"/>
          <w:sz w:val="32"/>
          <w:szCs w:val="32"/>
        </w:rPr>
        <w:t>万元。</w:t>
      </w:r>
    </w:p>
    <w:p>
      <w:pPr>
        <w:spacing w:line="560" w:lineRule="exact"/>
        <w:ind w:left="0" w:firstLine="640" w:firstLineChars="200"/>
        <w:jc w:val="left"/>
        <w:rPr>
          <w:rFonts w:hint="eastAsia" w:ascii="仿宋_GB2312" w:hAnsi="仿宋" w:eastAsia="仿宋_GB2312" w:cs="仿宋"/>
          <w:sz w:val="32"/>
          <w:szCs w:val="32"/>
        </w:rPr>
      </w:pPr>
      <w:r>
        <w:rPr>
          <w:rFonts w:hint="eastAsia" w:ascii="仿宋_GB2312" w:hAnsi="仿宋" w:eastAsia="仿宋_GB2312" w:cs="仿宋"/>
          <w:sz w:val="32"/>
          <w:szCs w:val="32"/>
        </w:rPr>
        <w:t>其中，一般公共预算财政拨款收入1601.1万元，政府性基金预算财政拨款收入</w:t>
      </w:r>
      <w:r>
        <w:rPr>
          <w:rFonts w:hint="eastAsia" w:ascii="仿宋_GB2312" w:hAnsi="仿宋" w:eastAsia="仿宋_GB2312" w:cs="仿宋"/>
          <w:sz w:val="32"/>
          <w:szCs w:val="32"/>
          <w:lang w:val="en-US" w:eastAsia="zh-CN"/>
        </w:rPr>
        <w:t>61.03</w:t>
      </w:r>
      <w:r>
        <w:rPr>
          <w:rFonts w:hint="eastAsia" w:ascii="仿宋_GB2312" w:hAnsi="仿宋" w:eastAsia="仿宋_GB2312" w:cs="仿宋"/>
          <w:sz w:val="32"/>
          <w:szCs w:val="32"/>
        </w:rPr>
        <w:t>万元，年初结转和结余</w:t>
      </w:r>
      <w:r>
        <w:rPr>
          <w:rFonts w:hint="eastAsia" w:ascii="仿宋_GB2312" w:hAnsi="仿宋" w:eastAsia="仿宋_GB2312" w:cs="仿宋"/>
          <w:sz w:val="32"/>
          <w:szCs w:val="32"/>
          <w:lang w:val="en-US" w:eastAsia="zh-CN"/>
        </w:rPr>
        <w:t>331.29</w:t>
      </w:r>
      <w:r>
        <w:rPr>
          <w:rFonts w:hint="eastAsia" w:ascii="仿宋_GB2312" w:hAnsi="仿宋" w:eastAsia="仿宋_GB2312" w:cs="仿宋"/>
          <w:sz w:val="32"/>
          <w:szCs w:val="32"/>
        </w:rPr>
        <w:t>万元。</w:t>
      </w:r>
    </w:p>
    <w:p>
      <w:pPr>
        <w:spacing w:line="560" w:lineRule="exact"/>
        <w:ind w:left="0" w:firstLine="640" w:firstLineChars="200"/>
        <w:jc w:val="left"/>
        <w:rPr>
          <w:rFonts w:hint="eastAsia" w:ascii="仿宋_GB2312" w:hAnsi="仿宋" w:eastAsia="仿宋_GB2312" w:cs="仿宋"/>
          <w:sz w:val="32"/>
          <w:szCs w:val="32"/>
        </w:rPr>
      </w:pPr>
      <w:r>
        <w:rPr>
          <w:rFonts w:hint="eastAsia" w:ascii="仿宋_GB2312" w:hAnsi="仿宋" w:eastAsia="仿宋_GB2312" w:cs="仿宋"/>
          <w:sz w:val="32"/>
          <w:szCs w:val="32"/>
        </w:rPr>
        <w:t>2、支出：</w:t>
      </w:r>
      <w:r>
        <w:rPr>
          <w:rFonts w:hint="eastAsia" w:ascii="仿宋_GB2312" w:hAnsi="仿宋" w:eastAsia="仿宋_GB2312" w:cs="仿宋"/>
          <w:sz w:val="32"/>
          <w:szCs w:val="32"/>
          <w:lang w:val="en-US" w:eastAsia="zh-CN"/>
        </w:rPr>
        <w:t>1993.39</w:t>
      </w:r>
      <w:r>
        <w:rPr>
          <w:rFonts w:hint="eastAsia" w:ascii="仿宋_GB2312" w:hAnsi="仿宋" w:eastAsia="仿宋_GB2312" w:cs="仿宋"/>
          <w:sz w:val="32"/>
          <w:szCs w:val="32"/>
        </w:rPr>
        <w:t>万元。</w:t>
      </w:r>
    </w:p>
    <w:p>
      <w:pPr>
        <w:spacing w:line="560" w:lineRule="exact"/>
        <w:ind w:left="0" w:firstLine="640" w:firstLineChars="200"/>
        <w:jc w:val="left"/>
        <w:rPr>
          <w:rFonts w:hint="eastAsia" w:ascii="仿宋_GB2312" w:hAnsi="仿宋" w:eastAsia="仿宋_GB2312" w:cs="仿宋"/>
          <w:sz w:val="32"/>
          <w:szCs w:val="32"/>
        </w:rPr>
      </w:pPr>
      <w:r>
        <w:rPr>
          <w:rFonts w:hint="eastAsia" w:ascii="仿宋_GB2312" w:hAnsi="仿宋" w:eastAsia="仿宋_GB2312" w:cs="仿宋"/>
          <w:sz w:val="32"/>
          <w:szCs w:val="32"/>
        </w:rPr>
        <w:t>其中，基本支出</w:t>
      </w:r>
      <w:r>
        <w:rPr>
          <w:rFonts w:hint="eastAsia" w:ascii="仿宋_GB2312" w:hAnsi="仿宋" w:eastAsia="仿宋_GB2312" w:cs="仿宋"/>
          <w:sz w:val="32"/>
          <w:szCs w:val="32"/>
          <w:lang w:val="en-US" w:eastAsia="zh-CN"/>
        </w:rPr>
        <w:t>854.83</w:t>
      </w:r>
      <w:r>
        <w:rPr>
          <w:rFonts w:hint="eastAsia" w:ascii="仿宋_GB2312" w:hAnsi="仿宋" w:eastAsia="仿宋_GB2312" w:cs="仿宋"/>
          <w:sz w:val="32"/>
          <w:szCs w:val="32"/>
        </w:rPr>
        <w:t>万元，项目支出</w:t>
      </w:r>
      <w:r>
        <w:rPr>
          <w:rFonts w:hint="eastAsia" w:ascii="仿宋_GB2312" w:hAnsi="仿宋" w:eastAsia="仿宋_GB2312" w:cs="仿宋"/>
          <w:sz w:val="32"/>
          <w:szCs w:val="32"/>
          <w:lang w:val="en-US" w:eastAsia="zh-CN"/>
        </w:rPr>
        <w:t>1138.56</w:t>
      </w:r>
      <w:r>
        <w:rPr>
          <w:rFonts w:hint="eastAsia" w:ascii="仿宋_GB2312" w:hAnsi="仿宋" w:eastAsia="仿宋_GB2312" w:cs="仿宋"/>
          <w:sz w:val="32"/>
          <w:szCs w:val="32"/>
        </w:rPr>
        <w:t>万元。</w:t>
      </w:r>
    </w:p>
    <w:p>
      <w:pPr>
        <w:spacing w:line="560" w:lineRule="exact"/>
        <w:ind w:left="0" w:firstLine="640" w:firstLineChars="200"/>
        <w:jc w:val="left"/>
        <w:rPr>
          <w:rFonts w:hint="eastAsia" w:ascii="仿宋_GB2312" w:hAnsi="仿宋" w:eastAsia="仿宋_GB2312" w:cs="仿宋"/>
          <w:sz w:val="32"/>
          <w:szCs w:val="32"/>
        </w:rPr>
      </w:pPr>
      <w:r>
        <w:rPr>
          <w:rFonts w:hint="eastAsia" w:ascii="仿宋_GB2312" w:hAnsi="仿宋" w:eastAsia="仿宋_GB2312" w:cs="仿宋"/>
          <w:sz w:val="32"/>
          <w:szCs w:val="32"/>
        </w:rPr>
        <w:t>3、年终结余</w:t>
      </w:r>
      <w:r>
        <w:rPr>
          <w:rFonts w:hint="eastAsia" w:ascii="仿宋_GB2312" w:hAnsi="仿宋" w:eastAsia="仿宋_GB2312" w:cs="仿宋"/>
          <w:sz w:val="32"/>
          <w:szCs w:val="32"/>
          <w:lang w:val="en-US" w:eastAsia="zh-CN"/>
        </w:rPr>
        <w:t>0</w:t>
      </w:r>
      <w:r>
        <w:rPr>
          <w:rFonts w:hint="eastAsia" w:ascii="仿宋_GB2312" w:hAnsi="仿宋" w:eastAsia="仿宋_GB2312" w:cs="仿宋"/>
          <w:sz w:val="32"/>
          <w:szCs w:val="32"/>
        </w:rPr>
        <w:t>万元。</w:t>
      </w:r>
    </w:p>
    <w:p>
      <w:pPr>
        <w:spacing w:line="560" w:lineRule="exact"/>
        <w:ind w:left="0" w:firstLine="640" w:firstLineChars="200"/>
        <w:jc w:val="left"/>
        <w:rPr>
          <w:rFonts w:hint="eastAsia" w:ascii="仿宋_GB2312" w:hAnsi="仿宋" w:eastAsia="仿宋_GB2312" w:cs="仿宋"/>
          <w:sz w:val="32"/>
          <w:szCs w:val="32"/>
        </w:rPr>
      </w:pPr>
      <w:r>
        <w:rPr>
          <w:rFonts w:hint="eastAsia" w:ascii="仿宋_GB2312" w:hAnsi="仿宋" w:eastAsia="仿宋_GB2312" w:cs="仿宋"/>
          <w:sz w:val="32"/>
          <w:szCs w:val="32"/>
        </w:rPr>
        <w:t>（二）、专项资金实际使用情况分析</w:t>
      </w:r>
    </w:p>
    <w:p>
      <w:pPr>
        <w:spacing w:line="560" w:lineRule="exact"/>
        <w:ind w:firstLine="640" w:firstLineChars="200"/>
        <w:jc w:val="left"/>
        <w:rPr>
          <w:rFonts w:hint="eastAsia" w:ascii="仿宋_GB2312" w:hAnsi="仿宋" w:eastAsia="仿宋_GB2312" w:cs="仿宋"/>
          <w:sz w:val="32"/>
          <w:szCs w:val="32"/>
          <w:highlight w:val="none"/>
        </w:rPr>
      </w:pPr>
      <w:r>
        <w:rPr>
          <w:rFonts w:hint="eastAsia" w:ascii="仿宋_GB2312" w:hAnsi="仿宋" w:eastAsia="仿宋_GB2312" w:cs="仿宋"/>
          <w:sz w:val="32"/>
          <w:szCs w:val="32"/>
          <w:highlight w:val="none"/>
        </w:rPr>
        <w:t>202</w:t>
      </w:r>
      <w:r>
        <w:rPr>
          <w:rFonts w:hint="eastAsia" w:ascii="仿宋_GB2312" w:hAnsi="仿宋" w:eastAsia="仿宋_GB2312" w:cs="仿宋"/>
          <w:sz w:val="32"/>
          <w:szCs w:val="32"/>
          <w:highlight w:val="none"/>
          <w:lang w:val="en-US" w:eastAsia="zh-CN"/>
        </w:rPr>
        <w:t>2</w:t>
      </w:r>
      <w:r>
        <w:rPr>
          <w:rFonts w:hint="eastAsia" w:ascii="仿宋_GB2312" w:hAnsi="仿宋" w:eastAsia="仿宋_GB2312" w:cs="仿宋"/>
          <w:sz w:val="32"/>
          <w:szCs w:val="32"/>
          <w:highlight w:val="none"/>
        </w:rPr>
        <w:t>年项目支出投入</w:t>
      </w:r>
      <w:r>
        <w:rPr>
          <w:rFonts w:hint="eastAsia" w:ascii="仿宋_GB2312" w:hAnsi="仿宋" w:eastAsia="仿宋_GB2312" w:cs="仿宋"/>
          <w:sz w:val="32"/>
          <w:szCs w:val="32"/>
          <w:highlight w:val="none"/>
          <w:lang w:val="en-US" w:eastAsia="zh-CN"/>
        </w:rPr>
        <w:t>177.96</w:t>
      </w:r>
      <w:r>
        <w:rPr>
          <w:rFonts w:hint="eastAsia" w:ascii="仿宋_GB2312" w:hAnsi="仿宋" w:eastAsia="仿宋_GB2312" w:cs="仿宋"/>
          <w:sz w:val="32"/>
          <w:szCs w:val="32"/>
          <w:highlight w:val="none"/>
        </w:rPr>
        <w:t>万元，年初预算数</w:t>
      </w:r>
      <w:r>
        <w:rPr>
          <w:rFonts w:hint="eastAsia" w:ascii="仿宋_GB2312" w:hAnsi="仿宋" w:eastAsia="仿宋_GB2312" w:cs="仿宋"/>
          <w:sz w:val="32"/>
          <w:szCs w:val="32"/>
          <w:highlight w:val="none"/>
          <w:lang w:val="en-US" w:eastAsia="zh-CN"/>
        </w:rPr>
        <w:t>205.46</w:t>
      </w:r>
      <w:r>
        <w:rPr>
          <w:rFonts w:hint="eastAsia" w:ascii="仿宋_GB2312" w:hAnsi="仿宋" w:eastAsia="仿宋_GB2312" w:cs="仿宋"/>
          <w:sz w:val="32"/>
          <w:szCs w:val="32"/>
          <w:highlight w:val="none"/>
        </w:rPr>
        <w:t>万元。主要项目支出是</w:t>
      </w:r>
      <w:r>
        <w:rPr>
          <w:rFonts w:hint="eastAsia" w:ascii="仿宋_GB2312" w:hAnsi="仿宋" w:eastAsia="仿宋_GB2312" w:cs="仿宋"/>
          <w:sz w:val="32"/>
          <w:szCs w:val="32"/>
          <w:highlight w:val="none"/>
          <w:lang w:eastAsia="zh-CN"/>
        </w:rPr>
        <w:t>：</w:t>
      </w:r>
      <w:r>
        <w:rPr>
          <w:rFonts w:hint="eastAsia" w:ascii="仿宋_GB2312" w:hAnsi="仿宋" w:eastAsia="仿宋_GB2312" w:cs="仿宋"/>
          <w:sz w:val="32"/>
          <w:szCs w:val="32"/>
          <w:highlight w:val="none"/>
        </w:rPr>
        <w:t>1</w:t>
      </w:r>
      <w:r>
        <w:rPr>
          <w:rFonts w:hint="eastAsia" w:ascii="仿宋_GB2312" w:hAnsi="仿宋" w:eastAsia="仿宋_GB2312" w:cs="仿宋"/>
          <w:sz w:val="32"/>
          <w:szCs w:val="32"/>
          <w:highlight w:val="none"/>
          <w:lang w:eastAsia="zh-CN"/>
        </w:rPr>
        <w:t>、</w:t>
      </w:r>
      <w:r>
        <w:rPr>
          <w:rFonts w:hint="eastAsia" w:ascii="仿宋_GB2312" w:hAnsi="仿宋" w:eastAsia="仿宋_GB2312" w:cs="仿宋"/>
          <w:sz w:val="32"/>
          <w:szCs w:val="32"/>
          <w:highlight w:val="none"/>
          <w:lang w:val="en-US" w:eastAsia="zh-CN"/>
        </w:rPr>
        <w:t>民族民间传统文化保护—龙溪书院免费开放0万元（全年工作完成，资金按年度结算）。</w:t>
      </w:r>
      <w:r>
        <w:rPr>
          <w:rFonts w:hint="eastAsia" w:ascii="仿宋_GB2312" w:hAnsi="仿宋" w:eastAsia="仿宋_GB2312" w:cs="仿宋"/>
          <w:sz w:val="32"/>
          <w:szCs w:val="32"/>
          <w:highlight w:val="none"/>
        </w:rPr>
        <w:t>2、</w:t>
      </w:r>
      <w:r>
        <w:rPr>
          <w:rFonts w:hint="eastAsia" w:ascii="仿宋_GB2312" w:hAnsi="仿宋" w:eastAsia="仿宋_GB2312" w:cs="仿宋"/>
          <w:sz w:val="32"/>
          <w:szCs w:val="32"/>
          <w:highlight w:val="none"/>
          <w:lang w:val="en-US" w:eastAsia="zh-CN"/>
        </w:rPr>
        <w:t>民族民间传统文化保护—</w:t>
      </w:r>
      <w:r>
        <w:rPr>
          <w:rFonts w:hint="eastAsia" w:ascii="仿宋_GB2312" w:hAnsi="仿宋" w:eastAsia="仿宋_GB2312" w:cs="仿宋"/>
          <w:sz w:val="32"/>
          <w:szCs w:val="32"/>
          <w:highlight w:val="none"/>
        </w:rPr>
        <w:t>清匪反霸、龙溪会馆、三益盐店、临阳公栈及唐伯庚故居免费开放经费</w:t>
      </w:r>
      <w:r>
        <w:rPr>
          <w:rFonts w:hint="eastAsia" w:ascii="仿宋_GB2312" w:hAnsi="仿宋" w:eastAsia="仿宋_GB2312" w:cs="仿宋"/>
          <w:sz w:val="32"/>
          <w:szCs w:val="32"/>
          <w:highlight w:val="none"/>
          <w:lang w:val="en-US" w:eastAsia="zh-CN"/>
        </w:rPr>
        <w:t>25万元。</w:t>
      </w:r>
      <w:r>
        <w:rPr>
          <w:rFonts w:hint="eastAsia" w:ascii="仿宋_GB2312" w:hAnsi="仿宋" w:eastAsia="仿宋_GB2312" w:cs="仿宋"/>
          <w:sz w:val="32"/>
          <w:szCs w:val="32"/>
          <w:highlight w:val="none"/>
        </w:rPr>
        <w:t>3、专项业务费</w:t>
      </w:r>
      <w:r>
        <w:rPr>
          <w:rFonts w:hint="eastAsia" w:ascii="仿宋_GB2312" w:hAnsi="仿宋" w:eastAsia="仿宋_GB2312" w:cs="仿宋"/>
          <w:sz w:val="32"/>
          <w:szCs w:val="32"/>
          <w:highlight w:val="none"/>
          <w:lang w:val="en-US" w:eastAsia="zh-CN"/>
        </w:rPr>
        <w:t>52.96万。</w:t>
      </w:r>
      <w:r>
        <w:rPr>
          <w:rFonts w:hint="eastAsia" w:ascii="仿宋_GB2312" w:hAnsi="仿宋" w:eastAsia="仿宋_GB2312" w:cs="仿宋"/>
          <w:sz w:val="32"/>
          <w:szCs w:val="32"/>
          <w:highlight w:val="none"/>
        </w:rPr>
        <w:t>4、体育彩票销售奖励</w:t>
      </w:r>
      <w:r>
        <w:rPr>
          <w:rFonts w:hint="eastAsia" w:ascii="仿宋_GB2312" w:hAnsi="仿宋" w:eastAsia="仿宋_GB2312" w:cs="仿宋"/>
          <w:sz w:val="32"/>
          <w:szCs w:val="32"/>
          <w:highlight w:val="none"/>
          <w:lang w:val="en-US" w:eastAsia="zh-CN"/>
        </w:rPr>
        <w:t>100万。</w:t>
      </w:r>
      <w:r>
        <w:rPr>
          <w:rFonts w:hint="eastAsia" w:ascii="仿宋_GB2312" w:hAnsi="仿宋" w:eastAsia="仿宋_GB2312" w:cs="仿宋"/>
          <w:sz w:val="32"/>
          <w:szCs w:val="32"/>
          <w:highlight w:val="none"/>
        </w:rPr>
        <w:t>5、</w:t>
      </w:r>
      <w:r>
        <w:rPr>
          <w:rFonts w:hint="eastAsia" w:ascii="仿宋_GB2312" w:hAnsi="仿宋" w:eastAsia="仿宋_GB2312" w:cs="仿宋"/>
          <w:sz w:val="32"/>
          <w:szCs w:val="32"/>
          <w:highlight w:val="none"/>
          <w:lang w:val="en-US" w:eastAsia="zh-CN"/>
        </w:rPr>
        <w:t>三馆免费开放资金0万元（全年任务完成，资金未到位）</w:t>
      </w:r>
      <w:r>
        <w:rPr>
          <w:rFonts w:hint="eastAsia" w:ascii="仿宋_GB2312" w:hAnsi="仿宋" w:eastAsia="仿宋_GB2312" w:cs="仿宋"/>
          <w:sz w:val="32"/>
          <w:szCs w:val="32"/>
          <w:highlight w:val="none"/>
        </w:rPr>
        <w:t>。</w:t>
      </w:r>
    </w:p>
    <w:p>
      <w:pPr>
        <w:spacing w:line="560" w:lineRule="exact"/>
        <w:ind w:left="0" w:firstLine="640" w:firstLineChars="200"/>
        <w:jc w:val="left"/>
        <w:rPr>
          <w:rFonts w:hint="eastAsia" w:ascii="仿宋_GB2312" w:hAnsi="仿宋" w:eastAsia="仿宋_GB2312" w:cs="仿宋"/>
          <w:sz w:val="32"/>
          <w:szCs w:val="32"/>
        </w:rPr>
      </w:pPr>
      <w:r>
        <w:rPr>
          <w:rFonts w:hint="eastAsia" w:ascii="仿宋_GB2312" w:hAnsi="仿宋" w:eastAsia="仿宋_GB2312" w:cs="仿宋"/>
          <w:sz w:val="32"/>
          <w:szCs w:val="32"/>
        </w:rPr>
        <w:t>(三)、专项资金管理情况分析</w:t>
      </w:r>
    </w:p>
    <w:p>
      <w:pPr>
        <w:spacing w:line="560" w:lineRule="exact"/>
        <w:ind w:left="0" w:firstLine="640" w:firstLineChars="200"/>
        <w:jc w:val="left"/>
        <w:rPr>
          <w:rFonts w:hint="eastAsia" w:ascii="仿宋_GB2312" w:hAnsi="仿宋" w:eastAsia="仿宋_GB2312" w:cs="仿宋"/>
          <w:sz w:val="32"/>
          <w:szCs w:val="32"/>
        </w:rPr>
      </w:pPr>
      <w:r>
        <w:rPr>
          <w:rFonts w:hint="eastAsia" w:ascii="仿宋_GB2312" w:hAnsi="仿宋" w:eastAsia="仿宋_GB2312" w:cs="仿宋"/>
          <w:sz w:val="32"/>
          <w:szCs w:val="32"/>
        </w:rPr>
        <w:t>在专项资金使用过程中，我局为切实规范专项资金管理，保障资金安全，高效运行，制定了管理制度，并严格执行相关财务制度，资金拨付严格坚持先做事、后验收、再拨付的原则。</w:t>
      </w:r>
    </w:p>
    <w:p>
      <w:pPr>
        <w:spacing w:line="560" w:lineRule="exact"/>
        <w:ind w:left="0" w:firstLine="640" w:firstLineChars="200"/>
        <w:jc w:val="left"/>
        <w:rPr>
          <w:rFonts w:hint="eastAsia" w:ascii="仿宋_GB2312" w:hAnsi="仿宋" w:eastAsia="仿宋_GB2312" w:cs="仿宋"/>
          <w:sz w:val="32"/>
          <w:szCs w:val="32"/>
        </w:rPr>
      </w:pPr>
      <w:r>
        <w:rPr>
          <w:rFonts w:hint="eastAsia" w:ascii="仿宋_GB2312" w:hAnsi="仿宋" w:eastAsia="仿宋_GB2312" w:cs="仿宋"/>
          <w:sz w:val="32"/>
          <w:szCs w:val="32"/>
        </w:rPr>
        <w:t>（四）、资金绩效自评情况</w:t>
      </w:r>
    </w:p>
    <w:p>
      <w:pPr>
        <w:spacing w:line="560" w:lineRule="exact"/>
        <w:ind w:left="0" w:firstLine="640" w:firstLineChars="200"/>
        <w:jc w:val="left"/>
        <w:rPr>
          <w:rFonts w:hint="eastAsia" w:ascii="仿宋_GB2312" w:hAnsi="仿宋" w:eastAsia="仿宋_GB2312" w:cs="仿宋"/>
          <w:sz w:val="32"/>
          <w:szCs w:val="32"/>
        </w:rPr>
      </w:pPr>
      <w:r>
        <w:rPr>
          <w:rFonts w:hint="eastAsia" w:ascii="仿宋_GB2312" w:hAnsi="仿宋" w:eastAsia="仿宋_GB2312" w:cs="仿宋"/>
          <w:sz w:val="32"/>
          <w:szCs w:val="32"/>
        </w:rPr>
        <w:t>从整体上看，202</w:t>
      </w:r>
      <w:r>
        <w:rPr>
          <w:rFonts w:hint="eastAsia" w:ascii="仿宋_GB2312" w:hAnsi="仿宋" w:eastAsia="仿宋_GB2312" w:cs="仿宋"/>
          <w:sz w:val="32"/>
          <w:szCs w:val="32"/>
          <w:lang w:val="en-US" w:eastAsia="zh-CN"/>
        </w:rPr>
        <w:t>2</w:t>
      </w:r>
      <w:r>
        <w:rPr>
          <w:rFonts w:hint="eastAsia" w:ascii="仿宋_GB2312" w:hAnsi="仿宋" w:eastAsia="仿宋_GB2312" w:cs="仿宋"/>
          <w:sz w:val="32"/>
          <w:szCs w:val="32"/>
        </w:rPr>
        <w:t>年我局资金运行维护决策正确，资金管理规范，项目管理到位，政策执行有力，有效发挥了财政资金的使用效率。在人员经费支出、公共支出严格执行政府的各项制度；在项目经费的使用上，在保证各项任务顺利完成的同时，严格落实厉行节约的原则；三公经费的使用严格控制在预算申报的范围内。</w:t>
      </w:r>
    </w:p>
    <w:p>
      <w:pPr>
        <w:spacing w:line="560" w:lineRule="exact"/>
        <w:ind w:left="0" w:firstLine="640" w:firstLineChars="200"/>
        <w:jc w:val="left"/>
        <w:rPr>
          <w:rFonts w:hint="eastAsia" w:ascii="仿宋_GB2312" w:hAnsi="仿宋" w:eastAsia="仿宋_GB2312" w:cs="仿宋"/>
          <w:sz w:val="32"/>
          <w:szCs w:val="32"/>
        </w:rPr>
      </w:pPr>
      <w:r>
        <w:rPr>
          <w:rFonts w:hint="eastAsia" w:ascii="仿宋_GB2312" w:hAnsi="仿宋" w:eastAsia="仿宋_GB2312" w:cs="仿宋"/>
          <w:sz w:val="32"/>
          <w:szCs w:val="32"/>
        </w:rPr>
        <w:t>一年来面对严峻复杂的国内外环境、不断加大的经济下行压力的艰巨繁重的发展改革任务，全局干部职工主动适应新常态，妥善应对多重挑战，圆满完成了年度主要目标任务，为全县经济运行稳中有进做出了积极贡献。</w:t>
      </w:r>
    </w:p>
    <w:p>
      <w:pPr>
        <w:spacing w:line="560" w:lineRule="exact"/>
        <w:ind w:left="0" w:firstLine="640" w:firstLineChars="200"/>
        <w:jc w:val="left"/>
        <w:rPr>
          <w:rFonts w:hint="eastAsia" w:ascii="黑体" w:hAnsi="黑体" w:eastAsia="黑体"/>
          <w:sz w:val="32"/>
          <w:szCs w:val="32"/>
        </w:rPr>
      </w:pPr>
    </w:p>
    <w:p>
      <w:pPr>
        <w:spacing w:line="560" w:lineRule="exact"/>
        <w:ind w:left="0" w:firstLine="640" w:firstLineChars="200"/>
        <w:jc w:val="left"/>
        <w:rPr>
          <w:rFonts w:hint="eastAsia" w:ascii="黑体" w:hAnsi="黑体" w:eastAsia="黑体"/>
          <w:sz w:val="32"/>
          <w:szCs w:val="32"/>
        </w:rPr>
      </w:pPr>
      <w:bookmarkStart w:id="0" w:name="_GoBack"/>
      <w:bookmarkEnd w:id="0"/>
      <w:r>
        <w:rPr>
          <w:rFonts w:hint="eastAsia" w:ascii="黑体" w:hAnsi="黑体" w:eastAsia="黑体"/>
          <w:sz w:val="32"/>
          <w:szCs w:val="32"/>
        </w:rPr>
        <w:t>三、存在的问题及原因</w:t>
      </w:r>
    </w:p>
    <w:p>
      <w:pPr>
        <w:spacing w:line="560" w:lineRule="exact"/>
        <w:ind w:left="0" w:firstLine="640" w:firstLineChars="200"/>
        <w:jc w:val="left"/>
        <w:rPr>
          <w:rFonts w:hint="eastAsia" w:ascii="仿宋_GB2312" w:eastAsia="仿宋_GB2312"/>
          <w:sz w:val="32"/>
          <w:szCs w:val="32"/>
          <w:lang w:val="en-US" w:eastAsia="zh-CN"/>
        </w:rPr>
      </w:pPr>
      <w:r>
        <w:rPr>
          <w:rFonts w:hint="eastAsia" w:ascii="仿宋_GB2312" w:eastAsia="仿宋_GB2312"/>
          <w:sz w:val="32"/>
          <w:szCs w:val="32"/>
        </w:rPr>
        <w:t>过本次绩效自评，发现还存在以下方面问题：</w:t>
      </w:r>
      <w:r>
        <w:rPr>
          <w:rFonts w:hint="eastAsia" w:ascii="仿宋_GB2312" w:eastAsia="仿宋_GB2312"/>
          <w:sz w:val="32"/>
          <w:szCs w:val="32"/>
          <w:lang w:val="en-US" w:eastAsia="zh-CN"/>
        </w:rPr>
        <w:t>资金使用情况表现不佳</w:t>
      </w:r>
      <w:r>
        <w:rPr>
          <w:rFonts w:hint="eastAsia" w:ascii="仿宋_GB2312" w:eastAsia="仿宋_GB2312"/>
          <w:sz w:val="32"/>
          <w:szCs w:val="32"/>
          <w:lang w:eastAsia="zh-CN"/>
        </w:rPr>
        <w:t>。</w:t>
      </w:r>
      <w:r>
        <w:rPr>
          <w:rFonts w:hint="eastAsia" w:ascii="仿宋_GB2312" w:eastAsia="仿宋_GB2312"/>
          <w:sz w:val="32"/>
          <w:szCs w:val="32"/>
        </w:rPr>
        <w:t>如：</w:t>
      </w:r>
      <w:r>
        <w:rPr>
          <w:rFonts w:hint="eastAsia" w:ascii="仿宋_GB2312" w:eastAsia="仿宋_GB2312"/>
          <w:sz w:val="32"/>
          <w:szCs w:val="32"/>
          <w:lang w:val="en-US" w:eastAsia="zh-CN"/>
        </w:rPr>
        <w:t>三馆免费开放资金未到位；龙溪书院免费开放资金未使用；清匪反霸、龙溪会馆、三益盐店、临阳公栈及唐伯庚故居免费开放资金剩余</w:t>
      </w:r>
      <w:r>
        <w:rPr>
          <w:rFonts w:hint="eastAsia" w:ascii="仿宋_GB2312" w:eastAsia="仿宋_GB2312"/>
          <w:sz w:val="32"/>
          <w:szCs w:val="32"/>
        </w:rPr>
        <w:t>。</w:t>
      </w:r>
      <w:r>
        <w:rPr>
          <w:rFonts w:hint="eastAsia" w:ascii="仿宋_GB2312" w:eastAsia="仿宋_GB2312"/>
          <w:sz w:val="32"/>
          <w:szCs w:val="32"/>
          <w:lang w:val="en-US" w:eastAsia="zh-CN"/>
        </w:rPr>
        <w:t>主要原因是2022年长期受疫情影响，相关财务报账工作连续性被打断，后续在验收完成后，再进行相关的报账流程，保障相关资金到位，更高效的促进项目产出及达到预期效益。</w:t>
      </w:r>
    </w:p>
    <w:p>
      <w:pPr>
        <w:spacing w:line="560" w:lineRule="exact"/>
        <w:ind w:left="0" w:firstLine="640" w:firstLineChars="200"/>
        <w:jc w:val="left"/>
        <w:rPr>
          <w:rFonts w:hint="eastAsia" w:ascii="黑体" w:hAnsi="黑体" w:eastAsia="黑体"/>
          <w:sz w:val="32"/>
          <w:szCs w:val="32"/>
        </w:rPr>
      </w:pPr>
      <w:r>
        <w:rPr>
          <w:rFonts w:hint="eastAsia" w:ascii="黑体" w:hAnsi="黑体" w:eastAsia="黑体"/>
          <w:sz w:val="32"/>
          <w:szCs w:val="32"/>
        </w:rPr>
        <w:t>四、提高财政资金绩效的措施与建议</w:t>
      </w:r>
    </w:p>
    <w:p>
      <w:pPr>
        <w:spacing w:line="560" w:lineRule="exact"/>
        <w:ind w:firstLine="640" w:firstLineChars="200"/>
        <w:jc w:val="left"/>
        <w:rPr>
          <w:rFonts w:hint="eastAsia" w:ascii="仿宋_GB2312" w:eastAsia="仿宋_GB2312"/>
          <w:sz w:val="32"/>
          <w:szCs w:val="32"/>
        </w:rPr>
      </w:pPr>
      <w:r>
        <w:rPr>
          <w:rFonts w:hint="eastAsia" w:ascii="仿宋_GB2312" w:eastAsia="仿宋_GB2312"/>
          <w:sz w:val="32"/>
          <w:szCs w:val="32"/>
        </w:rPr>
        <w:t>1、规范财务管理，提高财务信息质量。</w:t>
      </w:r>
    </w:p>
    <w:p>
      <w:pPr>
        <w:spacing w:line="560" w:lineRule="exact"/>
        <w:ind w:firstLine="640" w:firstLineChars="200"/>
        <w:jc w:val="left"/>
        <w:rPr>
          <w:rFonts w:hint="eastAsia" w:ascii="仿宋_GB2312" w:eastAsia="仿宋_GB2312"/>
          <w:sz w:val="32"/>
          <w:szCs w:val="32"/>
        </w:rPr>
      </w:pPr>
      <w:r>
        <w:rPr>
          <w:rFonts w:hint="eastAsia" w:ascii="仿宋_GB2312" w:eastAsia="仿宋_GB2312"/>
          <w:sz w:val="32"/>
          <w:szCs w:val="32"/>
        </w:rPr>
        <w:t>2、加强学习和培训、定期开展新制度、新法规学习、培训</w:t>
      </w:r>
    </w:p>
    <w:p>
      <w:pPr>
        <w:spacing w:line="560" w:lineRule="exact"/>
        <w:ind w:firstLine="640" w:firstLineChars="200"/>
        <w:jc w:val="left"/>
        <w:rPr>
          <w:rFonts w:hint="eastAsia" w:ascii="仿宋_GB2312" w:eastAsia="仿宋_GB2312"/>
          <w:sz w:val="32"/>
          <w:szCs w:val="32"/>
        </w:rPr>
      </w:pPr>
      <w:r>
        <w:rPr>
          <w:rFonts w:hint="eastAsia" w:ascii="仿宋_GB2312" w:eastAsia="仿宋_GB2312"/>
          <w:sz w:val="32"/>
          <w:szCs w:val="32"/>
        </w:rPr>
        <w:t>3、加强预算的约束力，细化预算编制工作。进一步加强全局内部机构各股室的预算管理意识，严格按照预算编制的相关制度和要求，编制范围尽可能的全面。严格控制，尽力避免超预算开支的情况，进一步提高预算编制的科学性、合理性和可控性。</w:t>
      </w:r>
    </w:p>
    <w:p>
      <w:pPr>
        <w:spacing w:line="560" w:lineRule="exact"/>
        <w:ind w:left="0" w:firstLine="640" w:firstLineChars="200"/>
        <w:jc w:val="left"/>
        <w:rPr>
          <w:rFonts w:hint="eastAsia" w:ascii="黑体" w:hAnsi="黑体" w:eastAsia="黑体"/>
          <w:sz w:val="32"/>
          <w:szCs w:val="32"/>
        </w:rPr>
      </w:pPr>
      <w:r>
        <w:rPr>
          <w:rFonts w:hint="eastAsia" w:ascii="黑体" w:hAnsi="黑体" w:eastAsia="黑体"/>
          <w:sz w:val="32"/>
          <w:szCs w:val="32"/>
        </w:rPr>
        <w:t>五、附件（佐证依据）</w:t>
      </w:r>
    </w:p>
    <w:p>
      <w:pPr>
        <w:spacing w:line="560" w:lineRule="exact"/>
        <w:ind w:firstLine="640" w:firstLineChars="200"/>
        <w:jc w:val="left"/>
        <w:rPr>
          <w:rFonts w:hint="eastAsia" w:ascii="仿宋_GB2312" w:eastAsia="仿宋_GB2312"/>
          <w:sz w:val="32"/>
          <w:szCs w:val="32"/>
        </w:rPr>
      </w:pPr>
      <w:r>
        <w:rPr>
          <w:rFonts w:hint="eastAsia" w:ascii="仿宋_GB2312" w:eastAsia="仿宋_GB2312"/>
          <w:sz w:val="32"/>
          <w:szCs w:val="32"/>
        </w:rPr>
        <w:t>提供自评报告的有关文件、资料等，以进一步解释和证明报告所反映的相关内容。</w:t>
      </w:r>
    </w:p>
    <w:p>
      <w:pPr>
        <w:spacing w:line="560" w:lineRule="exact"/>
        <w:ind w:firstLine="640" w:firstLineChars="200"/>
        <w:jc w:val="left"/>
        <w:rPr>
          <w:rFonts w:hint="eastAsia" w:ascii="仿宋_GB2312" w:eastAsia="仿宋_GB2312"/>
          <w:sz w:val="32"/>
          <w:szCs w:val="32"/>
        </w:rPr>
      </w:pPr>
      <w:r>
        <w:rPr>
          <w:rFonts w:hint="eastAsia"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2880" w:firstLineChars="900"/>
        <w:jc w:val="left"/>
        <w:textAlignment w:val="bottom"/>
        <w:rPr>
          <w:rFonts w:hint="default" w:ascii="仿宋_GB2312" w:eastAsia="仿宋_GB2312"/>
          <w:sz w:val="32"/>
          <w:szCs w:val="32"/>
          <w:lang w:val="en-US" w:eastAsia="zh-CN"/>
        </w:rPr>
      </w:pPr>
      <w:r>
        <w:rPr>
          <w:rFonts w:hint="eastAsia" w:ascii="仿宋_GB2312" w:eastAsia="仿宋_GB2312"/>
          <w:sz w:val="32"/>
          <w:szCs w:val="32"/>
        </w:rPr>
        <w:t xml:space="preserve"> </w:t>
      </w:r>
      <w:r>
        <w:rPr>
          <w:rFonts w:hint="eastAsia" w:ascii="仿宋_GB2312" w:eastAsia="仿宋_GB2312"/>
          <w:sz w:val="32"/>
          <w:szCs w:val="32"/>
          <w:lang w:val="en-US" w:eastAsia="zh-CN"/>
        </w:rPr>
        <w:t>新晃侗族自治县文化旅游广电体育局</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bottom"/>
      </w:pP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2023</w:t>
      </w:r>
      <w:r>
        <w:rPr>
          <w:rFonts w:hint="eastAsia" w:ascii="仿宋_GB2312" w:eastAsia="仿宋_GB2312"/>
          <w:sz w:val="32"/>
          <w:szCs w:val="32"/>
        </w:rPr>
        <w:t xml:space="preserve">年 </w:t>
      </w:r>
      <w:r>
        <w:rPr>
          <w:rFonts w:hint="eastAsia" w:ascii="仿宋_GB2312" w:eastAsia="仿宋_GB2312"/>
          <w:sz w:val="32"/>
          <w:szCs w:val="32"/>
          <w:lang w:val="en-US" w:eastAsia="zh-CN"/>
        </w:rPr>
        <w:t>5</w:t>
      </w:r>
      <w:r>
        <w:rPr>
          <w:rFonts w:hint="eastAsia" w:ascii="仿宋_GB2312" w:eastAsia="仿宋_GB2312"/>
          <w:sz w:val="32"/>
          <w:szCs w:val="32"/>
        </w:rPr>
        <w:t>月</w:t>
      </w:r>
      <w:r>
        <w:rPr>
          <w:rFonts w:hint="eastAsia" w:ascii="仿宋_GB2312" w:eastAsia="仿宋_GB2312"/>
          <w:sz w:val="32"/>
          <w:szCs w:val="32"/>
          <w:lang w:val="en-US" w:eastAsia="zh-CN"/>
        </w:rPr>
        <w:t>18</w:t>
      </w:r>
      <w:r>
        <w:rPr>
          <w:rFonts w:hint="eastAsia" w:ascii="仿宋_GB2312"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01667"/>
    <w:multiLevelType w:val="singleLevel"/>
    <w:tmpl w:val="98901667"/>
    <w:lvl w:ilvl="0" w:tentative="0">
      <w:start w:val="1"/>
      <w:numFmt w:val="chineseCounting"/>
      <w:suff w:val="nothing"/>
      <w:lvlText w:val="%1、"/>
      <w:lvlJc w:val="left"/>
      <w:pPr>
        <w:ind w:left="651"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0NjBiODJhOTcwOGY1MjcwZTQ5NjQ5OGRlOWNkMDUifQ=="/>
  </w:docVars>
  <w:rsids>
    <w:rsidRoot w:val="22BA5143"/>
    <w:rsid w:val="05BB42A5"/>
    <w:rsid w:val="088E2754"/>
    <w:rsid w:val="1597588E"/>
    <w:rsid w:val="1F11282B"/>
    <w:rsid w:val="218D5374"/>
    <w:rsid w:val="22BA5143"/>
    <w:rsid w:val="232C67F1"/>
    <w:rsid w:val="28373807"/>
    <w:rsid w:val="37A83DDA"/>
    <w:rsid w:val="50153B7F"/>
    <w:rsid w:val="584716EE"/>
    <w:rsid w:val="5979517E"/>
    <w:rsid w:val="61B43B55"/>
    <w:rsid w:val="7399224D"/>
    <w:rsid w:val="73BB66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2995</Words>
  <Characters>3112</Characters>
  <Lines>0</Lines>
  <Paragraphs>0</Paragraphs>
  <TotalTime>11</TotalTime>
  <ScaleCrop>false</ScaleCrop>
  <LinksUpToDate>false</LinksUpToDate>
  <CharactersWithSpaces>3160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2023-05-17T02:23:00Z</dcterms:created>
  <dc:creator>wgxj</dc:creator>
  <cp:lastModifiedBy>是我呀</cp:lastModifiedBy>
  <dcterms:modified xsi:type="dcterms:W3CDTF">2023-05-29T01:23:52Z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0B5ED2ECE5F243058452E92E4881BE3E_11</vt:lpwstr>
  </property>
</Properties>
</file>